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41" w:rsidRPr="00790F41" w:rsidRDefault="00790F41" w:rsidP="00790F4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790F41">
        <w:rPr>
          <w:rFonts w:ascii="Arial" w:eastAsia="Times New Roman" w:hAnsi="Arial" w:cs="Arial"/>
          <w:b/>
          <w:bCs/>
          <w:sz w:val="24"/>
          <w:szCs w:val="24"/>
        </w:rPr>
        <w:t>Tradition and Change in East Asia</w:t>
      </w:r>
      <w:bookmarkStart w:id="0" w:name="_GoBack"/>
      <w:bookmarkEnd w:id="0"/>
    </w:p>
    <w:p w:rsidR="00790F41" w:rsidRPr="00790F41" w:rsidRDefault="00790F41" w:rsidP="00790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 quest for political stability</w:t>
      </w:r>
    </w:p>
    <w:p w:rsidR="00790F41" w:rsidRPr="00790F41" w:rsidRDefault="00790F41" w:rsidP="00790F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The Ming dynasty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Ming government (1368-1644) drove the Mongols out of China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Centralized government control; faced new invasions from the Mongols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Rebuilt and repaired the Great Wall to prevent northern invasions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Restored Chinese cultural traditions and civil service examinations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Ming decline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Coastal cities and trade disrupted by pirates, 1520s--1560s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Government corruption and inefficiency caused by powerful eunuchs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Famines and peasant rebellions during the 1630s and 1640s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Manchu invaders with peasant support led to final Ming collapse, 1644</w:t>
      </w:r>
    </w:p>
    <w:p w:rsidR="00790F41" w:rsidRPr="00790F41" w:rsidRDefault="00790F41" w:rsidP="00790F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The Qing dynasty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The Manchus (1644-1911), invaders from Manchuria to the northeast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Overwhelmed the Chinese forces; proclaimed the Qing dynasty, 1644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Originally pastoral nomads, organized powerful military force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Captured Korea and Mongolia first, then China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Remained an ethnic elite; forbade intermarriage with Chinese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Kangxi (1661-1722) and his reign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Confucian scholar; effective, enlightened ruler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Conquered Taiwan; extended to Mongolia, central Asia, and Tibet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Qianlong (1736-1795) and his reign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A sophisticated and learned ruler, poet, and artist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Vietnam, Burma, and Nepal made vassal states of China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Under his rule, China was peaceful, prosperous, and powerful</w:t>
      </w:r>
    </w:p>
    <w:p w:rsidR="00790F41" w:rsidRPr="00790F41" w:rsidRDefault="00790F41" w:rsidP="00790F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The son of heaven and the scholar-bureaucrats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Emperor considered "the son of heaven"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Heavenly powers and an obligation to maintain order on the earth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Privileged life, awesome authority, and paramount power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Governance of the empire fell to civil servants, called scholar-bureaucrats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Schooled in Confucian texts, calligraphy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Had to pass rigorous examinations with strict quotas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The examination system and Chinese society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Civil service exam intensely competitive; few chosen for government positions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Others could become local teachers or tutors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System created a meritocracy with best students running the country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Wealthy families had some advantages over poor families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Confucian curriculum fostered common values</w:t>
      </w:r>
    </w:p>
    <w:p w:rsidR="00790F41" w:rsidRPr="00790F41" w:rsidRDefault="00790F41" w:rsidP="00790F41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790F41" w:rsidRPr="00790F41" w:rsidRDefault="00790F41" w:rsidP="00790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b/>
          <w:bCs/>
          <w:color w:val="000000"/>
          <w:sz w:val="18"/>
          <w:szCs w:val="18"/>
        </w:rPr>
        <w:t>Economic and social changes</w:t>
      </w:r>
    </w:p>
    <w:p w:rsidR="00790F41" w:rsidRPr="00790F41" w:rsidRDefault="00790F41" w:rsidP="00790F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The patriarchal family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The basic unit of Chinese society was the family; the highest value, filial piety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Included duties of children to fathers, loyalty of subjects to the emperor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Important functions of clan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Gender relations: strict patriarchal control over all females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Parents preferred boys over girls; marriage was to continue male line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Female infanticide; widows encouraged to commit suicide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Foot binding of young girls increased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Lowest status person in family was a young bride</w:t>
      </w:r>
    </w:p>
    <w:p w:rsidR="00790F41" w:rsidRPr="00790F41" w:rsidRDefault="00790F41" w:rsidP="00790F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Population growth and economic development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Intense garden-style agriculture fed a large population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American food crops in seventeenth century: maize, sweet potatoes, and peanuts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Available land reached maximum productivity by mid-seventeenth century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Population growth: 100 million in 1500, 225 million in 1750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Manufacturing and trade benefited from abundant, cheap labor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Exported large quantities of silk, porcelain, lacquerware, and tea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Compensated for the exports by importing silver bullion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lastRenderedPageBreak/>
        <w:t>Foreign trade brought wealth to the dynasty, but threatened scholar-bureaucrats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Kangxi began policy of strict control on foreign contact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 xml:space="preserve">Western merchants restricted to Macao and </w:t>
      </w:r>
      <w:proofErr w:type="spellStart"/>
      <w:r w:rsidRPr="00790F41">
        <w:rPr>
          <w:rFonts w:ascii="Arial" w:eastAsia="Times New Roman" w:hAnsi="Arial" w:cs="Arial"/>
          <w:color w:val="000000"/>
          <w:sz w:val="18"/>
          <w:szCs w:val="18"/>
        </w:rPr>
        <w:t>Quangzhou</w:t>
      </w:r>
      <w:proofErr w:type="spellEnd"/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Government and technology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Ming and Qing dynasties considered technological change disruptive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With abundant skilled labor, labor-saving technologies unnecessary</w:t>
      </w:r>
    </w:p>
    <w:p w:rsidR="00790F41" w:rsidRPr="00790F41" w:rsidRDefault="00790F41" w:rsidP="00790F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Gentry, commoners, soldiers, and mean people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Privileged classes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Scholar-bureaucrats and gentry occupied the most exalted positions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Directed local government and society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Peasants, the largest class, esteemed by Confucius for their honest labor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Artisans and other skilled workers, some economic status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Merchants often powerful and wealthy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Lower classes or "mean people": slaves, servants, entertainers, prostitutes</w:t>
      </w:r>
    </w:p>
    <w:p w:rsidR="00790F41" w:rsidRPr="00790F41" w:rsidRDefault="00790F41" w:rsidP="00790F41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790F41" w:rsidRPr="00790F41" w:rsidRDefault="00790F41" w:rsidP="00790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 Confucian tradition and new cultural influences</w:t>
      </w:r>
    </w:p>
    <w:p w:rsidR="00790F41" w:rsidRPr="00790F41" w:rsidRDefault="00790F41" w:rsidP="00790F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Neo-Confucianism and pulp fiction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Confucian education supported by Min and Qing emperors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90F41">
        <w:rPr>
          <w:rFonts w:ascii="Arial" w:eastAsia="Times New Roman" w:hAnsi="Arial" w:cs="Arial"/>
          <w:color w:val="000000"/>
          <w:sz w:val="18"/>
          <w:szCs w:val="18"/>
        </w:rPr>
        <w:t>Hanlin</w:t>
      </w:r>
      <w:proofErr w:type="spellEnd"/>
      <w:r w:rsidRPr="00790F41">
        <w:rPr>
          <w:rFonts w:ascii="Arial" w:eastAsia="Times New Roman" w:hAnsi="Arial" w:cs="Arial"/>
          <w:color w:val="000000"/>
          <w:sz w:val="18"/>
          <w:szCs w:val="18"/>
        </w:rPr>
        <w:t xml:space="preserve"> Academy in Beijing and provincial schools prepared students for civil service exams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Imperial cultural projects: encyclopedias and libraries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Popular culture expanded to include novels, romances, travel adventures</w:t>
      </w:r>
    </w:p>
    <w:p w:rsidR="00790F41" w:rsidRPr="00790F41" w:rsidRDefault="00790F41" w:rsidP="00790F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The return of Christianity to China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Matteo Ricci (1552-1610), an Italian Jesuit in the Ming court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A learned man who mastered written and oral Chinese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Impressed Chinese with European science and mathematics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Popular mechanical devices: glass prisms, harpsichords, clocks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Confucianism and Christianity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Jesuits respectful of Chinese tradition, but won few converts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Chinese had problems with exclusivity of Christianity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End of the Jesuit mission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Rival Franciscan and Dominican missionaries criticized Jesuits' tolerance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When the pope upheld critics, emperor Kangxi denounced Christianity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Jesuits had been an important bridge between Chinese and western cultures, introducing each to the achievements of the other.</w:t>
      </w:r>
    </w:p>
    <w:p w:rsidR="00790F41" w:rsidRPr="00790F41" w:rsidRDefault="00790F41" w:rsidP="00790F41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790F41" w:rsidRPr="00790F41" w:rsidRDefault="00790F41" w:rsidP="00790F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 unification of Japan</w:t>
      </w:r>
    </w:p>
    <w:p w:rsidR="00790F41" w:rsidRPr="00790F41" w:rsidRDefault="00790F41" w:rsidP="00790F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The Tokugawa shogunate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 xml:space="preserve">Tokugawa </w:t>
      </w:r>
      <w:proofErr w:type="spellStart"/>
      <w:r w:rsidRPr="00790F41">
        <w:rPr>
          <w:rFonts w:ascii="Arial" w:eastAsia="Times New Roman" w:hAnsi="Arial" w:cs="Arial"/>
          <w:color w:val="000000"/>
          <w:sz w:val="18"/>
          <w:szCs w:val="18"/>
        </w:rPr>
        <w:t>Ieyasu</w:t>
      </w:r>
      <w:proofErr w:type="spellEnd"/>
      <w:r w:rsidRPr="00790F41">
        <w:rPr>
          <w:rFonts w:ascii="Arial" w:eastAsia="Times New Roman" w:hAnsi="Arial" w:cs="Arial"/>
          <w:color w:val="000000"/>
          <w:sz w:val="18"/>
          <w:szCs w:val="18"/>
        </w:rPr>
        <w:t xml:space="preserve"> brought stability to Japan after 1600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Japan divided into warring feudal estates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 xml:space="preserve">As shogun, </w:t>
      </w:r>
      <w:proofErr w:type="spellStart"/>
      <w:r w:rsidRPr="00790F41">
        <w:rPr>
          <w:rFonts w:ascii="Arial" w:eastAsia="Times New Roman" w:hAnsi="Arial" w:cs="Arial"/>
          <w:color w:val="000000"/>
          <w:sz w:val="18"/>
          <w:szCs w:val="18"/>
        </w:rPr>
        <w:t>Ieyasu</w:t>
      </w:r>
      <w:proofErr w:type="spellEnd"/>
      <w:r w:rsidRPr="00790F41">
        <w:rPr>
          <w:rFonts w:ascii="Arial" w:eastAsia="Times New Roman" w:hAnsi="Arial" w:cs="Arial"/>
          <w:color w:val="000000"/>
          <w:sz w:val="18"/>
          <w:szCs w:val="18"/>
        </w:rPr>
        <w:t xml:space="preserve"> established a military government known as </w:t>
      </w:r>
      <w:proofErr w:type="spellStart"/>
      <w:r w:rsidRPr="00790F41">
        <w:rPr>
          <w:rFonts w:ascii="Arial" w:eastAsia="Times New Roman" w:hAnsi="Arial" w:cs="Arial"/>
          <w:i/>
          <w:iCs/>
          <w:color w:val="000000"/>
          <w:sz w:val="18"/>
          <w:szCs w:val="18"/>
        </w:rPr>
        <w:t>bakufu</w:t>
      </w:r>
      <w:proofErr w:type="spellEnd"/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First need to control the daimyo, powerful local lords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Each daimyo absolute lord within his domain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Tokugawa shoguns required daimyo to live alternative years at Edo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90F41">
        <w:rPr>
          <w:rFonts w:ascii="Arial" w:eastAsia="Times New Roman" w:hAnsi="Arial" w:cs="Arial"/>
          <w:i/>
          <w:iCs/>
          <w:color w:val="000000"/>
          <w:sz w:val="18"/>
          <w:szCs w:val="18"/>
        </w:rPr>
        <w:t>Bakufu</w:t>
      </w:r>
      <w:proofErr w:type="spellEnd"/>
      <w:r w:rsidRPr="00790F41">
        <w:rPr>
          <w:rFonts w:ascii="Arial" w:eastAsia="Times New Roman" w:hAnsi="Arial" w:cs="Arial"/>
          <w:color w:val="000000"/>
          <w:sz w:val="18"/>
          <w:szCs w:val="18"/>
        </w:rPr>
        <w:t> controlled daimyo marriages, travel, expenditures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Control of foreign relations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The shoguns adopted policy of isolation from outside world, 1630s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Foreign trade was under tight restriction at the port of Nagasaki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Despite the policy, Japan was never completely isolated</w:t>
      </w:r>
    </w:p>
    <w:p w:rsidR="00790F41" w:rsidRPr="00790F41" w:rsidRDefault="00790F41" w:rsidP="00790F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Economic and social change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Population growth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Agricultural production doubled between 1600 and 1700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Population rose by a one-third from 1600 to 1700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Then slow growth due to infanticide, contraception, late marriage, abortion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Social change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Peace undermined the social and economic role of warrior elites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Merchants became prominent, and often wealthier than the ruling elites</w:t>
      </w:r>
    </w:p>
    <w:p w:rsidR="00790F41" w:rsidRPr="00790F41" w:rsidRDefault="00790F41" w:rsidP="00790F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lastRenderedPageBreak/>
        <w:t>Neo-Confucianism and floating worlds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Neo-Confucianism (loyalty, submission) became the official ideology of the Tokugawa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Scholars of "native learning" tried to establish distinctive Japanese identity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"Floating worlds"--centers of urban culture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Included teahouses, theaters, brothels, public baths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 xml:space="preserve">Ihara </w:t>
      </w:r>
      <w:proofErr w:type="spellStart"/>
      <w:r w:rsidRPr="00790F41">
        <w:rPr>
          <w:rFonts w:ascii="Arial" w:eastAsia="Times New Roman" w:hAnsi="Arial" w:cs="Arial"/>
          <w:color w:val="000000"/>
          <w:sz w:val="18"/>
          <w:szCs w:val="18"/>
        </w:rPr>
        <w:t>Saikaku</w:t>
      </w:r>
      <w:proofErr w:type="spellEnd"/>
      <w:r w:rsidRPr="00790F41">
        <w:rPr>
          <w:rFonts w:ascii="Arial" w:eastAsia="Times New Roman" w:hAnsi="Arial" w:cs="Arial"/>
          <w:color w:val="000000"/>
          <w:sz w:val="18"/>
          <w:szCs w:val="18"/>
        </w:rPr>
        <w:t>, poet and novelist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Kabuki theaters and </w:t>
      </w:r>
      <w:r w:rsidRPr="00790F41">
        <w:rPr>
          <w:rFonts w:ascii="Arial" w:eastAsia="Times New Roman" w:hAnsi="Arial" w:cs="Arial"/>
          <w:i/>
          <w:iCs/>
          <w:color w:val="000000"/>
          <w:sz w:val="18"/>
          <w:szCs w:val="18"/>
        </w:rPr>
        <w:t>bunraku</w:t>
      </w:r>
      <w:r w:rsidRPr="00790F41">
        <w:rPr>
          <w:rFonts w:ascii="Arial" w:eastAsia="Times New Roman" w:hAnsi="Arial" w:cs="Arial"/>
          <w:color w:val="000000"/>
          <w:sz w:val="18"/>
          <w:szCs w:val="18"/>
        </w:rPr>
        <w:t> (puppet) very popular</w:t>
      </w:r>
    </w:p>
    <w:p w:rsidR="00790F41" w:rsidRPr="00790F41" w:rsidRDefault="00790F41" w:rsidP="00790F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Christianity and Dutch learning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Christian missions, under Jesuits, had significant success in sixteenth century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Anti-Christian campaign launched by Tokugawa shoguns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Feared any movement that might help daimyo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Buddhists and Confucians resented Christian exclusivity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After 1612, Christians banned from islands, thousands killed</w:t>
      </w:r>
    </w:p>
    <w:p w:rsidR="00790F41" w:rsidRPr="00790F41" w:rsidRDefault="00790F41" w:rsidP="00790F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Dutch learning was one limited connection to the outside world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Dutch merchants permitted to trade at Nagasaki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Japanese scholars were permitted to learn Dutch and, after 1720, to read Dutch books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Shoguns became enthusiastic proponents of Dutch learning by mid-eighteenth century</w:t>
      </w:r>
    </w:p>
    <w:p w:rsidR="00790F41" w:rsidRPr="00790F41" w:rsidRDefault="00790F41" w:rsidP="00790F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0F41">
        <w:rPr>
          <w:rFonts w:ascii="Arial" w:eastAsia="Times New Roman" w:hAnsi="Arial" w:cs="Arial"/>
          <w:color w:val="000000"/>
          <w:sz w:val="18"/>
          <w:szCs w:val="18"/>
        </w:rPr>
        <w:t>European art, medicine, and science began to influence Japanese scholars</w:t>
      </w:r>
    </w:p>
    <w:p w:rsidR="00790F41" w:rsidRDefault="00790F41"/>
    <w:sectPr w:rsidR="00790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30B61"/>
    <w:multiLevelType w:val="multilevel"/>
    <w:tmpl w:val="5DC024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41"/>
    <w:rsid w:val="007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463"/>
  <w15:chartTrackingRefBased/>
  <w15:docId w15:val="{10F92104-698C-421F-8CA6-D61EB20B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0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90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0F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0F4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W. Austin</dc:creator>
  <cp:keywords/>
  <dc:description/>
  <cp:lastModifiedBy>King, W. Austin</cp:lastModifiedBy>
  <cp:revision>1</cp:revision>
  <dcterms:created xsi:type="dcterms:W3CDTF">2019-11-18T23:50:00Z</dcterms:created>
  <dcterms:modified xsi:type="dcterms:W3CDTF">2019-11-18T23:51:00Z</dcterms:modified>
</cp:coreProperties>
</file>